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506D58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32"/>
          <w:szCs w:val="32"/>
          <w:lang w:eastAsia="hi-IN" w:bidi="hi-IN"/>
        </w:rPr>
      </w:pPr>
    </w:p>
    <w:p w14:paraId="46E251AB" w14:textId="0070409E" w:rsidR="00E50BF1" w:rsidRDefault="001531F4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GUAYAQUIL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FE71C5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2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1E22655C" w14:textId="503B305D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Traslado aeropuerto hotel aeropuerto en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servicio privado</w:t>
      </w:r>
    </w:p>
    <w:p w14:paraId="6FD463EC" w14:textId="77777777" w:rsidR="00166405" w:rsidRDefault="00FE71C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2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esayunos </w:t>
      </w:r>
    </w:p>
    <w:p w14:paraId="5C0B7C54" w14:textId="3FAD7BFB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City tour por la ciudad de Guayaquil con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parque Histórico en servicio privado con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almuerzo en restaurante local</w:t>
      </w:r>
    </w:p>
    <w:p w14:paraId="515F4DDE" w14:textId="4AF9237B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Servicio de guía bilingüe</w:t>
      </w:r>
    </w:p>
    <w:p w14:paraId="2942F44F" w14:textId="25DE4BB7" w:rsidR="001531F4" w:rsidRDefault="001531F4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Impuestos Hoteleros</w:t>
      </w:r>
    </w:p>
    <w:p w14:paraId="3557BEB9" w14:textId="77777777" w:rsidR="00166405" w:rsidRDefault="00166405" w:rsidP="00166405">
      <w:pPr>
        <w:pStyle w:val="Sinespaciado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485CF60" w14:textId="1A5899EE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</w:p>
    <w:p w14:paraId="3F12440A" w14:textId="6583C524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Propinas</w:t>
      </w:r>
    </w:p>
    <w:p w14:paraId="5BB2C76B" w14:textId="51C3FA38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Tarjeta de Asistencia</w:t>
      </w:r>
    </w:p>
    <w:p w14:paraId="00769800" w14:textId="170D9A23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eastAsia="Calibri" w:hAnsi="Calibri" w:cs="Calibri" w:hint="eastAsia"/>
          <w:b/>
          <w:bCs/>
          <w:color w:val="002060"/>
        </w:rPr>
        <w:t>􀀀</w:t>
      </w:r>
      <w:r w:rsidRPr="00166405">
        <w:rPr>
          <w:rFonts w:ascii="Calibri" w:hAnsi="Calibri" w:cs="Calibri"/>
          <w:b/>
          <w:bCs/>
          <w:color w:val="002060"/>
        </w:rPr>
        <w:t xml:space="preserve"> Nada no mencionado en el itinerario</w:t>
      </w:r>
    </w:p>
    <w:p w14:paraId="0F79C7E7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635"/>
        <w:gridCol w:w="882"/>
        <w:gridCol w:w="635"/>
        <w:gridCol w:w="698"/>
        <w:gridCol w:w="635"/>
        <w:gridCol w:w="698"/>
        <w:gridCol w:w="558"/>
        <w:gridCol w:w="662"/>
      </w:tblGrid>
      <w:tr w:rsidR="00166405" w:rsidRPr="00166405" w14:paraId="30EABB74" w14:textId="77777777" w:rsidTr="00166405">
        <w:trPr>
          <w:trHeight w:val="231"/>
        </w:trPr>
        <w:tc>
          <w:tcPr>
            <w:tcW w:w="938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EA0911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GH GALERIA 4* o similar</w:t>
            </w:r>
          </w:p>
        </w:tc>
      </w:tr>
      <w:tr w:rsidR="00166405" w:rsidRPr="00166405" w14:paraId="2BF5493A" w14:textId="77777777" w:rsidTr="00166405">
        <w:trPr>
          <w:trHeight w:val="231"/>
        </w:trPr>
        <w:tc>
          <w:tcPr>
            <w:tcW w:w="938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8262F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3CBE53AA" w14:textId="77777777" w:rsidTr="00166405">
        <w:trPr>
          <w:trHeight w:val="272"/>
        </w:trPr>
        <w:tc>
          <w:tcPr>
            <w:tcW w:w="397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07027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3F7A67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EBA057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1705EB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EEEDDC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30D04306" w14:textId="77777777" w:rsidTr="00166405">
        <w:trPr>
          <w:trHeight w:val="272"/>
        </w:trPr>
        <w:tc>
          <w:tcPr>
            <w:tcW w:w="397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C9C6D2F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81588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1EB9A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EC4F42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D7C79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511185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DFA0B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D246D0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77B7B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66405" w:rsidRPr="00166405" w14:paraId="0D3D411B" w14:textId="77777777" w:rsidTr="00166405">
        <w:trPr>
          <w:trHeight w:val="272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7F899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E10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$436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613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S/.1,571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9645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$249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C8CF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S/.896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8D49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990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S/.892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5D0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604A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66405" w:rsidRPr="00166405" w14:paraId="7A4578AB" w14:textId="77777777" w:rsidTr="00166405">
        <w:trPr>
          <w:trHeight w:val="285"/>
        </w:trPr>
        <w:tc>
          <w:tcPr>
            <w:tcW w:w="39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F75266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20BF4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564D9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ECCD4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8B14F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AF7C0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36ED6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3DFA1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B0C36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A636708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637"/>
        <w:gridCol w:w="885"/>
        <w:gridCol w:w="637"/>
        <w:gridCol w:w="700"/>
        <w:gridCol w:w="637"/>
        <w:gridCol w:w="700"/>
        <w:gridCol w:w="560"/>
        <w:gridCol w:w="664"/>
      </w:tblGrid>
      <w:tr w:rsidR="00166405" w:rsidRPr="00166405" w14:paraId="4244B3C2" w14:textId="77777777" w:rsidTr="00166405">
        <w:trPr>
          <w:trHeight w:val="228"/>
        </w:trPr>
        <w:tc>
          <w:tcPr>
            <w:tcW w:w="941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D005EE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UNIPARK ORO VERDE 4* o similar</w:t>
            </w:r>
          </w:p>
        </w:tc>
      </w:tr>
      <w:tr w:rsidR="00166405" w:rsidRPr="00166405" w14:paraId="7CB5DBA6" w14:textId="77777777" w:rsidTr="00166405">
        <w:trPr>
          <w:trHeight w:val="231"/>
        </w:trPr>
        <w:tc>
          <w:tcPr>
            <w:tcW w:w="941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0B0E10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00BA2830" w14:textId="77777777" w:rsidTr="00166405">
        <w:trPr>
          <w:trHeight w:val="272"/>
        </w:trPr>
        <w:tc>
          <w:tcPr>
            <w:tcW w:w="399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7B8772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ABFD2C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C0624A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2B957B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B66C5A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3B31047C" w14:textId="77777777" w:rsidTr="00166405">
        <w:trPr>
          <w:trHeight w:val="272"/>
        </w:trPr>
        <w:tc>
          <w:tcPr>
            <w:tcW w:w="399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00A45E9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CCE176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63DCF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217AA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6A261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45062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098A9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D1691D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5E55D1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66405" w:rsidRPr="00166405" w14:paraId="571F53DD" w14:textId="77777777" w:rsidTr="00166405">
        <w:trPr>
          <w:trHeight w:val="272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EDAC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DD8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$447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DD85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S/.1,608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21F3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042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S/.896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57A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9B6A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S/.906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11C0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D1FF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66405" w:rsidRPr="00166405" w14:paraId="10E91B71" w14:textId="77777777" w:rsidTr="00166405">
        <w:trPr>
          <w:trHeight w:val="285"/>
        </w:trPr>
        <w:tc>
          <w:tcPr>
            <w:tcW w:w="39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E1341A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98BC1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746E6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BB900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90272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3A736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6B491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DF89B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B2F83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8B72834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614"/>
        <w:gridCol w:w="854"/>
        <w:gridCol w:w="613"/>
        <w:gridCol w:w="854"/>
        <w:gridCol w:w="613"/>
        <w:gridCol w:w="854"/>
        <w:gridCol w:w="540"/>
        <w:gridCol w:w="639"/>
      </w:tblGrid>
      <w:tr w:rsidR="00166405" w:rsidRPr="00166405" w14:paraId="2A7AE339" w14:textId="77777777" w:rsidTr="00166405">
        <w:trPr>
          <w:trHeight w:val="228"/>
        </w:trPr>
        <w:tc>
          <w:tcPr>
            <w:tcW w:w="942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3060F0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WYNDHAM GARDEN GUAYAQUIL 4* o similar</w:t>
            </w:r>
          </w:p>
        </w:tc>
      </w:tr>
      <w:tr w:rsidR="00166405" w:rsidRPr="00166405" w14:paraId="0C06C73F" w14:textId="77777777" w:rsidTr="00166405">
        <w:trPr>
          <w:trHeight w:val="231"/>
        </w:trPr>
        <w:tc>
          <w:tcPr>
            <w:tcW w:w="942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76BC23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1C757408" w14:textId="77777777" w:rsidTr="00166405">
        <w:trPr>
          <w:trHeight w:val="272"/>
        </w:trPr>
        <w:tc>
          <w:tcPr>
            <w:tcW w:w="384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167AC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87000C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BDB856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F9A6EF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2A058A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08B900AA" w14:textId="77777777" w:rsidTr="00166405">
        <w:trPr>
          <w:trHeight w:val="272"/>
        </w:trPr>
        <w:tc>
          <w:tcPr>
            <w:tcW w:w="384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0F11253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58D59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05E63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F5E350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2463D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163DD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F4E3C3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67DF4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EE22C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66405" w:rsidRPr="00166405" w14:paraId="55E4B355" w14:textId="77777777" w:rsidTr="00166405">
        <w:trPr>
          <w:trHeight w:val="272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4177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458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$552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80B7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S/.1,986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948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$299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864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S/.1,076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764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$305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DCC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S/.1,098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C89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3349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66405" w:rsidRPr="00166405" w14:paraId="241749DE" w14:textId="77777777" w:rsidTr="00166405">
        <w:trPr>
          <w:trHeight w:val="285"/>
        </w:trPr>
        <w:tc>
          <w:tcPr>
            <w:tcW w:w="38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C0AC1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97602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50719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S/.475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21806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478FC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S/.241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63FDD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0E098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916E5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43E79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A577535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615"/>
        <w:gridCol w:w="855"/>
        <w:gridCol w:w="614"/>
        <w:gridCol w:w="855"/>
        <w:gridCol w:w="614"/>
        <w:gridCol w:w="855"/>
        <w:gridCol w:w="540"/>
        <w:gridCol w:w="638"/>
        <w:gridCol w:w="6"/>
      </w:tblGrid>
      <w:tr w:rsidR="00166405" w:rsidRPr="00166405" w14:paraId="716A4131" w14:textId="77777777" w:rsidTr="00166405">
        <w:trPr>
          <w:trHeight w:val="228"/>
        </w:trPr>
        <w:tc>
          <w:tcPr>
            <w:tcW w:w="9440" w:type="dxa"/>
            <w:gridSpan w:val="10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8BD4E1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DOUBLETREE by HILTON GUAYAQUIL 4* o similar</w:t>
            </w:r>
          </w:p>
        </w:tc>
      </w:tr>
      <w:tr w:rsidR="00166405" w:rsidRPr="00166405" w14:paraId="6F7B8C1E" w14:textId="77777777" w:rsidTr="00166405">
        <w:trPr>
          <w:trHeight w:val="231"/>
        </w:trPr>
        <w:tc>
          <w:tcPr>
            <w:tcW w:w="9440" w:type="dxa"/>
            <w:gridSpan w:val="10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453D76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5652838B" w14:textId="77777777" w:rsidTr="00166405">
        <w:trPr>
          <w:trHeight w:val="272"/>
        </w:trPr>
        <w:tc>
          <w:tcPr>
            <w:tcW w:w="3851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BB44D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84D0CA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EEC2C9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576FA8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07652C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753497F2" w14:textId="77777777" w:rsidTr="00166405">
        <w:trPr>
          <w:gridAfter w:val="1"/>
          <w:wAfter w:w="6" w:type="dxa"/>
          <w:trHeight w:val="272"/>
        </w:trPr>
        <w:tc>
          <w:tcPr>
            <w:tcW w:w="3851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68D50E0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6647D7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82DFAC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FA4EC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AD01C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2944A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53C421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3C1454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8A859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66405" w:rsidRPr="00166405" w14:paraId="43929330" w14:textId="77777777" w:rsidTr="00166405">
        <w:trPr>
          <w:gridAfter w:val="1"/>
          <w:wAfter w:w="6" w:type="dxa"/>
          <w:trHeight w:val="272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61CDD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578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$588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98A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S/.2,117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D2AD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$319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2453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S/.1,148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61C2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$323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307F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S/.1,162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57BF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F93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66405" w:rsidRPr="00166405" w14:paraId="6E26F07D" w14:textId="77777777" w:rsidTr="00166405">
        <w:trPr>
          <w:gridAfter w:val="1"/>
          <w:wAfter w:w="6" w:type="dxa"/>
          <w:trHeight w:val="285"/>
        </w:trPr>
        <w:tc>
          <w:tcPr>
            <w:tcW w:w="3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257AF7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EB507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7AACF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S/.547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49468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22C27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8B35E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9EF31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E0D15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CAABA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2E05AF7B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4B41FAC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02284FC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D19112A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614"/>
        <w:gridCol w:w="854"/>
        <w:gridCol w:w="613"/>
        <w:gridCol w:w="854"/>
        <w:gridCol w:w="613"/>
        <w:gridCol w:w="854"/>
        <w:gridCol w:w="540"/>
        <w:gridCol w:w="639"/>
      </w:tblGrid>
      <w:tr w:rsidR="00166405" w:rsidRPr="00166405" w14:paraId="3A645E74" w14:textId="77777777" w:rsidTr="00166405">
        <w:trPr>
          <w:trHeight w:val="228"/>
        </w:trPr>
        <w:tc>
          <w:tcPr>
            <w:tcW w:w="9425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20A90D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ORO VERDE GUAYAQUIL 5* o similar</w:t>
            </w:r>
          </w:p>
        </w:tc>
      </w:tr>
      <w:tr w:rsidR="00166405" w:rsidRPr="00166405" w14:paraId="05A8116C" w14:textId="77777777" w:rsidTr="00166405">
        <w:trPr>
          <w:trHeight w:val="231"/>
        </w:trPr>
        <w:tc>
          <w:tcPr>
            <w:tcW w:w="9425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7885EC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133D802D" w14:textId="77777777" w:rsidTr="00166405">
        <w:trPr>
          <w:trHeight w:val="272"/>
        </w:trPr>
        <w:tc>
          <w:tcPr>
            <w:tcW w:w="384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B100A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72C4C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F41CB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8FFC1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26AB433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4336E00E" w14:textId="77777777" w:rsidTr="00166405">
        <w:trPr>
          <w:trHeight w:val="272"/>
        </w:trPr>
        <w:tc>
          <w:tcPr>
            <w:tcW w:w="384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96AFBDD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4D2BF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39D9FE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0BC7E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005C6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E5CEE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F3E8A7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53EE2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E4E52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66405" w:rsidRPr="00166405" w14:paraId="456EFA56" w14:textId="77777777" w:rsidTr="00166405">
        <w:trPr>
          <w:trHeight w:val="272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545A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BD5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$598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7DE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S/.2,154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EF61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$329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594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S/.1,184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9D8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$328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B5E3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S/.1,182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439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FC90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66405" w:rsidRPr="00166405" w14:paraId="47E75F46" w14:textId="77777777" w:rsidTr="00166405">
        <w:trPr>
          <w:trHeight w:val="285"/>
        </w:trPr>
        <w:tc>
          <w:tcPr>
            <w:tcW w:w="384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86A050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C10C8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0B883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S/.583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757DA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6210B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27F3E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C5B4D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S/.432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B6C17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27EE2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7C2C5EE7" w14:textId="77777777" w:rsidR="00166405" w:rsidRDefault="00166405" w:rsidP="00166405">
      <w:pPr>
        <w:pStyle w:val="Sinespaciado"/>
        <w:rPr>
          <w:lang w:eastAsia="es-PE"/>
        </w:rPr>
      </w:pPr>
    </w:p>
    <w:tbl>
      <w:tblPr>
        <w:tblW w:w="9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613"/>
        <w:gridCol w:w="853"/>
        <w:gridCol w:w="612"/>
        <w:gridCol w:w="853"/>
        <w:gridCol w:w="612"/>
        <w:gridCol w:w="853"/>
        <w:gridCol w:w="539"/>
        <w:gridCol w:w="637"/>
      </w:tblGrid>
      <w:tr w:rsidR="00166405" w:rsidRPr="00166405" w14:paraId="487F4EEF" w14:textId="77777777" w:rsidTr="00166405">
        <w:trPr>
          <w:trHeight w:val="228"/>
        </w:trPr>
        <w:tc>
          <w:tcPr>
            <w:tcW w:w="941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A62B9D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HILTON COLON GUAYAQUIL 5* o similar</w:t>
            </w:r>
          </w:p>
        </w:tc>
      </w:tr>
      <w:tr w:rsidR="00166405" w:rsidRPr="00166405" w14:paraId="4D0DC8C9" w14:textId="77777777" w:rsidTr="00166405">
        <w:trPr>
          <w:trHeight w:val="231"/>
        </w:trPr>
        <w:tc>
          <w:tcPr>
            <w:tcW w:w="941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703EFA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39925BCF" w14:textId="77777777" w:rsidTr="00166405">
        <w:trPr>
          <w:trHeight w:val="272"/>
        </w:trPr>
        <w:tc>
          <w:tcPr>
            <w:tcW w:w="383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4DCAF2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138F0E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07E46B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6C16A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8ACD5C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7B9C7215" w14:textId="77777777" w:rsidTr="00166405">
        <w:trPr>
          <w:trHeight w:val="272"/>
        </w:trPr>
        <w:tc>
          <w:tcPr>
            <w:tcW w:w="383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ED8DB3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05F47C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51022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8CD0EE6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DC1813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8829D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9B958B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8C84B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CC81C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66405" w:rsidRPr="00166405" w14:paraId="5CEF4042" w14:textId="77777777" w:rsidTr="00166405">
        <w:trPr>
          <w:trHeight w:val="272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17CF3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50B7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C5F8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S/.2,279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E9B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$349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77DA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S/.1,256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37D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$345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2A3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S/.1,243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A53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616A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66405" w:rsidRPr="00166405" w14:paraId="36E1F075" w14:textId="77777777" w:rsidTr="00166405">
        <w:trPr>
          <w:trHeight w:val="285"/>
        </w:trPr>
        <w:tc>
          <w:tcPr>
            <w:tcW w:w="38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810408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84A1D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4277E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S/.601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FE798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8870F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621CB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F4EE7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S/.266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6D9AA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D20A4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B6E0832" w14:textId="77777777" w:rsidR="00166405" w:rsidRDefault="00166405" w:rsidP="00166405">
      <w:pPr>
        <w:pStyle w:val="Sinespaciado"/>
        <w:rPr>
          <w:lang w:eastAsia="es-PE"/>
        </w:rPr>
      </w:pPr>
    </w:p>
    <w:tbl>
      <w:tblPr>
        <w:tblW w:w="9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613"/>
        <w:gridCol w:w="853"/>
        <w:gridCol w:w="612"/>
        <w:gridCol w:w="853"/>
        <w:gridCol w:w="612"/>
        <w:gridCol w:w="853"/>
        <w:gridCol w:w="539"/>
        <w:gridCol w:w="637"/>
      </w:tblGrid>
      <w:tr w:rsidR="00166405" w:rsidRPr="00166405" w14:paraId="74B63F44" w14:textId="77777777" w:rsidTr="00166405">
        <w:trPr>
          <w:trHeight w:val="228"/>
        </w:trPr>
        <w:tc>
          <w:tcPr>
            <w:tcW w:w="941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6BF51E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SHERATON GUAYAQUIL 5* o similar</w:t>
            </w:r>
          </w:p>
        </w:tc>
      </w:tr>
      <w:tr w:rsidR="00166405" w:rsidRPr="00166405" w14:paraId="158A0F45" w14:textId="77777777" w:rsidTr="00166405">
        <w:trPr>
          <w:trHeight w:val="231"/>
        </w:trPr>
        <w:tc>
          <w:tcPr>
            <w:tcW w:w="941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EA61BE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166405" w:rsidRPr="00166405" w14:paraId="42B77EB9" w14:textId="77777777" w:rsidTr="00166405">
        <w:trPr>
          <w:trHeight w:val="272"/>
        </w:trPr>
        <w:tc>
          <w:tcPr>
            <w:tcW w:w="383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78781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4A3389B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4BF8C1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36D486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27EBA2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166405" w:rsidRPr="00166405" w14:paraId="311FEE40" w14:textId="77777777" w:rsidTr="00166405">
        <w:trPr>
          <w:trHeight w:val="272"/>
        </w:trPr>
        <w:tc>
          <w:tcPr>
            <w:tcW w:w="383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48546E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7FE525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2A939C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11987C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7A3E34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B0F5C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ED0D50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89B81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6789D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166405" w:rsidRPr="00166405" w14:paraId="73E00B28" w14:textId="77777777" w:rsidTr="00166405">
        <w:trPr>
          <w:trHeight w:val="272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3CB5E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D9EE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$688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ED63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S/.2,475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3CC1A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9D2D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S/.1,328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97FCE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$373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8E08C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S/.1,344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251D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A39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166405" w:rsidRPr="00166405" w14:paraId="07925AFF" w14:textId="77777777" w:rsidTr="00166405">
        <w:trPr>
          <w:trHeight w:val="285"/>
        </w:trPr>
        <w:tc>
          <w:tcPr>
            <w:tcW w:w="38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18F0EB" w14:textId="77777777" w:rsidR="00166405" w:rsidRPr="00166405" w:rsidRDefault="00166405" w:rsidP="00166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DF5D1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$202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02D642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S/.727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E25D78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28A6F9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S/.396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9A8B40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DD0C8F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37C2F5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3F1841" w14:textId="77777777" w:rsidR="00166405" w:rsidRPr="00166405" w:rsidRDefault="00166405" w:rsidP="00166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166405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0DC95815" w14:textId="77777777" w:rsidR="00166405" w:rsidRDefault="00166405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8B5420C" w14:textId="77777777" w:rsidR="00E50BF1" w:rsidRDefault="00E50BF1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77D28129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1: Guayaquil</w:t>
      </w:r>
    </w:p>
    <w:p w14:paraId="030A81CC" w14:textId="24F90CA3" w:rsid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Llegada a Guayaquil, asistencia en al aeropuerto y traslado al hotel, resto de día libre.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Alojamiento.</w:t>
      </w:r>
    </w:p>
    <w:p w14:paraId="569343E6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45223099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Día 2: City tour</w:t>
      </w:r>
    </w:p>
    <w:p w14:paraId="4B956060" w14:textId="561C8039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en el hotel. Visitaremos el Parque Seminario, también popularmente conocido como el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parque Las Iguanas, por los reptiles que habitan allí. El sitio tiene su encanto natural con árboles y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un estanque artificial en el que nadan peces dorados. Nos dirigimos luego a la Catedral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metropolitana. Luego visitaremos la Torre Morisca conocida como la Torre del Reloj Pública y el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parque histórico este representa la historia de la ciudad en tres distintas áreas: su fauna y flora, su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arquitectura urbana y sus tradiciones, más adelante visitaremos El Parque Histórico que es un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espacio cultural, ambiental, educativo y turístico que hace referencia a la antigua ciudad de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Guayaquil en la época colonial y que abarca casi toda la región de la costa. Almuerzo típico y</w:t>
      </w:r>
    </w:p>
    <w:p w14:paraId="3C9F1B35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tarde libre.</w:t>
      </w:r>
    </w:p>
    <w:p w14:paraId="48180414" w14:textId="77777777" w:rsidR="00166405" w:rsidRPr="0016640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1379F5C0" w14:textId="3EE390BA" w:rsidR="00FE71C5" w:rsidRDefault="00166405" w:rsidP="00166405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Día 3: </w:t>
      </w:r>
      <w:r w:rsidRPr="00166405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Tiempo libre hasta la hora del vuelo, traslado y fin de nuestros servicios.</w:t>
      </w:r>
    </w:p>
    <w:p w14:paraId="5114D4D8" w14:textId="77777777" w:rsidR="001531F4" w:rsidRDefault="001531F4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1DE2FEF2" w14:textId="77777777" w:rsidR="00166405" w:rsidRPr="00506D58" w:rsidRDefault="00166405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50771B5F" w14:textId="53C044DF" w:rsidR="00166405" w:rsidRPr="00166405" w:rsidRDefault="00166405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DE NIÑOS: Se consideran niños a las personas de 3 a 11 </w:t>
      </w:r>
      <w:proofErr w:type="gramStart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años de edad</w:t>
      </w:r>
      <w:proofErr w:type="gramEnd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, los mismos que siempre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pagarán por los servicios terrestres. Los servicios hoteleros dependen de cada hotel (solicitar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confirmación a su ejecutiva de reservas), niños menores de 2 años pueden compartir habitación sin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cargo con sus padres y no pagarán servicios terrestres.</w:t>
      </w:r>
    </w:p>
    <w:p w14:paraId="667BA95E" w14:textId="77777777" w:rsidR="00166405" w:rsidRDefault="00166405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parque Histórico (no abre los lunes, ni martes) se puede reemplazar por museo del Cacao.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495D3372" w14:textId="77777777" w:rsidR="00166405" w:rsidRPr="00506D58" w:rsidRDefault="00166405" w:rsidP="00166405">
      <w:pPr>
        <w:suppressAutoHyphens/>
        <w:spacing w:after="0" w:line="100" w:lineRule="atLeast"/>
        <w:ind w:left="142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CF4E" w14:textId="77777777" w:rsidR="00F51B62" w:rsidRDefault="00F51B62" w:rsidP="007D5D95">
      <w:pPr>
        <w:spacing w:after="0" w:line="240" w:lineRule="auto"/>
      </w:pPr>
      <w:r>
        <w:separator/>
      </w:r>
    </w:p>
  </w:endnote>
  <w:endnote w:type="continuationSeparator" w:id="0">
    <w:p w14:paraId="4C14C943" w14:textId="77777777" w:rsidR="00F51B62" w:rsidRDefault="00F51B62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A782" w14:textId="77777777" w:rsidR="00F51B62" w:rsidRDefault="00F51B62" w:rsidP="007D5D95">
      <w:pPr>
        <w:spacing w:after="0" w:line="240" w:lineRule="auto"/>
      </w:pPr>
      <w:r>
        <w:separator/>
      </w:r>
    </w:p>
  </w:footnote>
  <w:footnote w:type="continuationSeparator" w:id="0">
    <w:p w14:paraId="4AF46C63" w14:textId="77777777" w:rsidR="00F51B62" w:rsidRDefault="00F51B62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225FFA24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166405">
      <w:rPr>
        <w:rFonts w:ascii="Montserrat" w:hAnsi="Montserrat"/>
        <w:i/>
        <w:iCs/>
        <w:color w:val="007536"/>
      </w:rPr>
      <w:t xml:space="preserve">ESCAPATE </w:t>
    </w:r>
    <w:r w:rsidR="001531F4">
      <w:rPr>
        <w:rFonts w:ascii="Montserrat" w:hAnsi="Montserrat"/>
        <w:i/>
        <w:iCs/>
        <w:color w:val="007536"/>
      </w:rPr>
      <w:t xml:space="preserve">GUAYAQUIL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531F4"/>
    <w:rsid w:val="00166405"/>
    <w:rsid w:val="001A6F01"/>
    <w:rsid w:val="002A3950"/>
    <w:rsid w:val="002D0E4D"/>
    <w:rsid w:val="003A02B0"/>
    <w:rsid w:val="003C7C91"/>
    <w:rsid w:val="0045278B"/>
    <w:rsid w:val="004713AE"/>
    <w:rsid w:val="005932CD"/>
    <w:rsid w:val="005C54EC"/>
    <w:rsid w:val="007170D4"/>
    <w:rsid w:val="007D1DC3"/>
    <w:rsid w:val="007D42C9"/>
    <w:rsid w:val="007D5D95"/>
    <w:rsid w:val="009A3936"/>
    <w:rsid w:val="00C35102"/>
    <w:rsid w:val="00D104AC"/>
    <w:rsid w:val="00D539CE"/>
    <w:rsid w:val="00DF6BD9"/>
    <w:rsid w:val="00E22419"/>
    <w:rsid w:val="00E4336C"/>
    <w:rsid w:val="00E50BF1"/>
    <w:rsid w:val="00F51B6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1153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2026-03-31T18:10:00Z</dcterms:created>
  <dcterms:modified xsi:type="dcterms:W3CDTF">2026-03-31T18:10:00Z</dcterms:modified>
</cp:coreProperties>
</file>